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B6" w:rsidRDefault="009518B6">
      <w:pPr>
        <w:ind w:right="-315"/>
        <w:textAlignment w:val="baseline"/>
        <w:rPr>
          <w:b/>
          <w:sz w:val="28"/>
          <w:u w:val="single"/>
        </w:rPr>
      </w:pPr>
    </w:p>
    <w:p w:rsidR="009518B6" w:rsidRDefault="00A53E44">
      <w:pPr>
        <w:ind w:right="-315"/>
        <w:textAlignment w:val="baseline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PROCESSO LICITATÓRIO Nº </w:t>
      </w:r>
      <w:r w:rsidR="001D3074">
        <w:rPr>
          <w:b/>
          <w:sz w:val="28"/>
          <w:u w:val="single"/>
        </w:rPr>
        <w:t>2280</w:t>
      </w:r>
      <w:r>
        <w:rPr>
          <w:b/>
          <w:sz w:val="28"/>
          <w:u w:val="single"/>
        </w:rPr>
        <w:t>/20</w:t>
      </w:r>
      <w:r w:rsidR="000E66E6">
        <w:rPr>
          <w:b/>
          <w:sz w:val="28"/>
          <w:u w:val="single"/>
        </w:rPr>
        <w:t>23</w:t>
      </w:r>
      <w:r>
        <w:rPr>
          <w:b/>
          <w:sz w:val="28"/>
          <w:u w:val="single"/>
        </w:rPr>
        <w:t xml:space="preserve"> </w:t>
      </w:r>
    </w:p>
    <w:p w:rsidR="009518B6" w:rsidRDefault="009518B6">
      <w:pPr>
        <w:ind w:right="-315"/>
        <w:textAlignment w:val="baseline"/>
        <w:rPr>
          <w:b/>
          <w:sz w:val="28"/>
          <w:u w:val="single"/>
        </w:rPr>
      </w:pPr>
    </w:p>
    <w:p w:rsidR="009518B6" w:rsidRDefault="00A53E44">
      <w:pPr>
        <w:ind w:right="-315"/>
        <w:textAlignment w:val="baseline"/>
        <w:rPr>
          <w:b/>
          <w:sz w:val="28"/>
          <w:u w:val="single"/>
        </w:rPr>
      </w:pPr>
      <w:r>
        <w:rPr>
          <w:b/>
          <w:sz w:val="28"/>
          <w:u w:val="single"/>
        </w:rPr>
        <w:t>EDITAL DE LICITAÇÃO MODALIDADE CONCORRÊNCIA PÚBLICA Nº 00</w:t>
      </w:r>
      <w:r w:rsidR="001D3074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/20</w:t>
      </w:r>
      <w:r w:rsidR="000E66E6">
        <w:rPr>
          <w:b/>
          <w:sz w:val="28"/>
          <w:u w:val="single"/>
        </w:rPr>
        <w:t>23</w:t>
      </w:r>
      <w:r>
        <w:rPr>
          <w:b/>
          <w:sz w:val="28"/>
          <w:u w:val="single"/>
        </w:rPr>
        <w:t xml:space="preserve"> </w:t>
      </w:r>
    </w:p>
    <w:p w:rsidR="009518B6" w:rsidRDefault="009518B6">
      <w:pPr>
        <w:ind w:right="-315" w:firstLine="3261"/>
        <w:jc w:val="both"/>
        <w:textAlignment w:val="baseline"/>
        <w:rPr>
          <w:b/>
          <w:sz w:val="24"/>
          <w:u w:val="single"/>
        </w:rPr>
      </w:pPr>
    </w:p>
    <w:p w:rsidR="009518B6" w:rsidRDefault="009518B6">
      <w:pPr>
        <w:ind w:right="-315" w:firstLine="1134"/>
        <w:jc w:val="both"/>
        <w:textAlignment w:val="baseline"/>
        <w:rPr>
          <w:b/>
          <w:sz w:val="24"/>
          <w:u w:val="single"/>
        </w:rPr>
      </w:pPr>
    </w:p>
    <w:p w:rsidR="009518B6" w:rsidRDefault="009518B6">
      <w:pPr>
        <w:ind w:right="-315" w:firstLine="1134"/>
        <w:textAlignment w:val="baseline"/>
        <w:rPr>
          <w:b/>
          <w:sz w:val="24"/>
          <w:u w:val="single"/>
        </w:rPr>
      </w:pP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9518B6">
      <w:pPr>
        <w:ind w:right="-315" w:firstLine="4536"/>
        <w:jc w:val="both"/>
        <w:textAlignment w:val="baseline"/>
        <w:rPr>
          <w:sz w:val="24"/>
        </w:rPr>
      </w:pPr>
    </w:p>
    <w:p w:rsidR="009518B6" w:rsidRDefault="00614D80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ROMULO TEIXEIRA CARVALHO</w:t>
      </w:r>
      <w:r w:rsidR="00A53E44">
        <w:rPr>
          <w:sz w:val="24"/>
        </w:rPr>
        <w:t>,</w:t>
      </w:r>
      <w:r>
        <w:rPr>
          <w:sz w:val="24"/>
        </w:rPr>
        <w:t xml:space="preserve"> Vice-</w:t>
      </w:r>
      <w:r w:rsidR="00A53E44">
        <w:rPr>
          <w:sz w:val="24"/>
        </w:rPr>
        <w:t xml:space="preserve">Prefeito Municipal de Condor, no uso das suas atribuições legais e de conformidade com a Lei nº 8.666/93, de 21 de julho de 1993, e suas alterações posteriores, torna público para conhecimento dos interessados que, às 09:00 horas do dia </w:t>
      </w:r>
      <w:r w:rsidR="001D3074">
        <w:rPr>
          <w:sz w:val="24"/>
        </w:rPr>
        <w:t>11</w:t>
      </w:r>
      <w:r w:rsidR="00A53E44">
        <w:rPr>
          <w:sz w:val="24"/>
        </w:rPr>
        <w:t xml:space="preserve"> de </w:t>
      </w:r>
      <w:r w:rsidR="000E66E6">
        <w:rPr>
          <w:sz w:val="24"/>
        </w:rPr>
        <w:t>setembro</w:t>
      </w:r>
      <w:r w:rsidR="00A53E44">
        <w:rPr>
          <w:sz w:val="24"/>
        </w:rPr>
        <w:t xml:space="preserve"> de 20</w:t>
      </w:r>
      <w:r w:rsidR="000E66E6">
        <w:rPr>
          <w:sz w:val="24"/>
        </w:rPr>
        <w:t>23</w:t>
      </w:r>
      <w:r w:rsidR="00A53E44">
        <w:rPr>
          <w:sz w:val="24"/>
        </w:rPr>
        <w:t xml:space="preserve">, na sala de reuniões do Centro Administrativo da Prefeitura Municipal de Condor, estará recebendo as propostas dos interessados na exploração da praça de alimentação do Ginásio Municipal </w:t>
      </w:r>
      <w:proofErr w:type="spellStart"/>
      <w:r w:rsidR="00A53E44">
        <w:rPr>
          <w:sz w:val="24"/>
        </w:rPr>
        <w:t>Deomar</w:t>
      </w:r>
      <w:proofErr w:type="spellEnd"/>
      <w:r w:rsidR="00A53E44">
        <w:rPr>
          <w:sz w:val="24"/>
        </w:rPr>
        <w:t xml:space="preserve"> </w:t>
      </w:r>
      <w:proofErr w:type="spellStart"/>
      <w:r w:rsidR="00A53E44">
        <w:rPr>
          <w:sz w:val="24"/>
        </w:rPr>
        <w:t>Lautert</w:t>
      </w:r>
      <w:proofErr w:type="spellEnd"/>
      <w:r w:rsidR="00A53E44">
        <w:rPr>
          <w:sz w:val="24"/>
        </w:rPr>
        <w:t>, conforme as exigências a seguir:</w:t>
      </w:r>
    </w:p>
    <w:p w:rsidR="009518B6" w:rsidRDefault="009518B6">
      <w:pPr>
        <w:ind w:right="-315"/>
        <w:jc w:val="both"/>
        <w:textAlignment w:val="baseline"/>
        <w:rPr>
          <w:sz w:val="24"/>
        </w:rPr>
      </w:pPr>
    </w:p>
    <w:p w:rsidR="009518B6" w:rsidRDefault="00A53E44">
      <w:pPr>
        <w:pStyle w:val="PargrafodaLista"/>
        <w:numPr>
          <w:ilvl w:val="0"/>
          <w:numId w:val="1"/>
        </w:numPr>
        <w:ind w:right="-315"/>
        <w:jc w:val="both"/>
        <w:textAlignment w:val="baseline"/>
        <w:rPr>
          <w:sz w:val="24"/>
          <w:u w:val="single"/>
        </w:rPr>
      </w:pPr>
      <w:r>
        <w:rPr>
          <w:b/>
          <w:sz w:val="24"/>
          <w:u w:val="single"/>
        </w:rPr>
        <w:t>- DO OBJETO</w:t>
      </w:r>
    </w:p>
    <w:p w:rsidR="000E66E6" w:rsidRDefault="000E66E6">
      <w:pPr>
        <w:pStyle w:val="PargrafodaLista"/>
        <w:ind w:right="-315"/>
        <w:jc w:val="both"/>
        <w:textAlignment w:val="baseline"/>
        <w:rPr>
          <w:sz w:val="24"/>
        </w:rPr>
      </w:pPr>
    </w:p>
    <w:p w:rsidR="009518B6" w:rsidRDefault="00A53E44">
      <w:pPr>
        <w:pStyle w:val="PargrafodaLista"/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</w:rPr>
        <w:t xml:space="preserve">1.1 – Constitui objeto da presente licitação a concessão </w:t>
      </w:r>
      <w:proofErr w:type="gramStart"/>
      <w:r>
        <w:rPr>
          <w:sz w:val="24"/>
        </w:rPr>
        <w:t>( a</w:t>
      </w:r>
      <w:proofErr w:type="gramEnd"/>
      <w:r>
        <w:rPr>
          <w:sz w:val="24"/>
        </w:rPr>
        <w:t xml:space="preserve"> título oneroso) de uso do espaço físico destinado à exploração da praça de alimentação do Ginásio Municipal </w:t>
      </w:r>
      <w:proofErr w:type="spellStart"/>
      <w:r>
        <w:rPr>
          <w:sz w:val="24"/>
        </w:rPr>
        <w:t>Deomar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Lautert</w:t>
      </w:r>
      <w:proofErr w:type="spellEnd"/>
      <w:r>
        <w:rPr>
          <w:sz w:val="24"/>
        </w:rPr>
        <w:t>, localizado na rua Castelo Branco, 671, perímetro urbano do município de Condor/RS.</w:t>
      </w:r>
    </w:p>
    <w:p w:rsidR="009518B6" w:rsidRDefault="009518B6">
      <w:pPr>
        <w:pStyle w:val="PargrafodaLista"/>
        <w:rPr>
          <w:sz w:val="24"/>
          <w:u w:val="single"/>
        </w:rPr>
      </w:pP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b/>
          <w:sz w:val="24"/>
          <w:u w:val="single"/>
        </w:rPr>
        <w:t>02 - DO RECEBIMENTO DAS PROPOSTAS</w:t>
      </w: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 xml:space="preserve">As propostas e documentos de habilitação serão recebidos pela Comissão Permanente de Licitações, no dia, hora e local mencionados no preâmbulo deste Edital, em via preferencialmente datilografada, assinada em sua última folha e </w:t>
      </w:r>
      <w:proofErr w:type="gramStart"/>
      <w:r>
        <w:rPr>
          <w:sz w:val="24"/>
        </w:rPr>
        <w:t>rubricada  nas</w:t>
      </w:r>
      <w:proofErr w:type="gramEnd"/>
      <w:r>
        <w:rPr>
          <w:sz w:val="24"/>
        </w:rPr>
        <w:t xml:space="preserve"> demais pelos proponentes ou seus procuradores constituídos, sem entrelinhas, emendas ou rasuras, em 02 (dois) envelopes distintos, fechados, contendo na sua parte externa fronteira a seguinte inscrição:</w:t>
      </w:r>
    </w:p>
    <w:p w:rsidR="009518B6" w:rsidRDefault="009518B6">
      <w:pPr>
        <w:ind w:right="-315" w:firstLine="1134"/>
        <w:jc w:val="both"/>
        <w:textAlignment w:val="baseline"/>
        <w:rPr>
          <w:sz w:val="24"/>
        </w:rPr>
      </w:pP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AO MUNICÍPIO DE CONDOR/RS</w:t>
      </w:r>
    </w:p>
    <w:p w:rsidR="009569A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CONCORRÊNCIA PÚBLICA Nº 00</w:t>
      </w:r>
      <w:r w:rsidR="001D3074">
        <w:rPr>
          <w:sz w:val="24"/>
        </w:rPr>
        <w:t>2</w:t>
      </w:r>
      <w:r>
        <w:rPr>
          <w:sz w:val="24"/>
        </w:rPr>
        <w:t>/20</w:t>
      </w:r>
      <w:r w:rsidR="009569A6">
        <w:rPr>
          <w:sz w:val="24"/>
        </w:rPr>
        <w:t>23</w:t>
      </w:r>
    </w:p>
    <w:p w:rsidR="009518B6" w:rsidRDefault="00A53E44">
      <w:pPr>
        <w:ind w:right="-315"/>
        <w:jc w:val="both"/>
        <w:textAlignment w:val="baseline"/>
        <w:rPr>
          <w:b/>
          <w:sz w:val="24"/>
        </w:rPr>
      </w:pPr>
      <w:r>
        <w:rPr>
          <w:sz w:val="24"/>
        </w:rPr>
        <w:t xml:space="preserve">ENVELOPE Nº 01 – </w:t>
      </w:r>
      <w:r>
        <w:rPr>
          <w:b/>
          <w:sz w:val="24"/>
          <w:u w:val="single"/>
        </w:rPr>
        <w:t>HABILITAÇÃO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(NOME COMPLETO DO PROPONENTE).</w:t>
      </w:r>
    </w:p>
    <w:p w:rsidR="009518B6" w:rsidRDefault="009518B6">
      <w:pPr>
        <w:ind w:right="-315"/>
        <w:jc w:val="both"/>
        <w:textAlignment w:val="baseline"/>
        <w:rPr>
          <w:sz w:val="24"/>
        </w:rPr>
      </w:pP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AO MUNICÍPIO DE CONSOR/RS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CONCORRÊNCIA PÚBLICA Nº 00</w:t>
      </w:r>
      <w:r w:rsidR="001D3074">
        <w:rPr>
          <w:sz w:val="24"/>
        </w:rPr>
        <w:t>2</w:t>
      </w:r>
      <w:r>
        <w:rPr>
          <w:sz w:val="24"/>
        </w:rPr>
        <w:t>/20</w:t>
      </w:r>
      <w:r w:rsidR="009569A6">
        <w:rPr>
          <w:sz w:val="24"/>
        </w:rPr>
        <w:t>23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 xml:space="preserve">ENVELOPE Nº 02 – </w:t>
      </w:r>
      <w:r>
        <w:rPr>
          <w:b/>
          <w:sz w:val="24"/>
          <w:u w:val="single"/>
        </w:rPr>
        <w:t>PROPOSTA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(NOME COMPLETO DO PROPONENTE)</w:t>
      </w:r>
    </w:p>
    <w:p w:rsidR="009518B6" w:rsidRDefault="009518B6">
      <w:pPr>
        <w:ind w:right="-315"/>
        <w:jc w:val="both"/>
        <w:textAlignment w:val="baseline"/>
        <w:rPr>
          <w:sz w:val="24"/>
        </w:rPr>
      </w:pP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b/>
          <w:sz w:val="24"/>
          <w:u w:val="single"/>
        </w:rPr>
        <w:t>3 - DA HABILITAÇÃO</w:t>
      </w:r>
      <w:r>
        <w:rPr>
          <w:sz w:val="24"/>
          <w:u w:val="single"/>
        </w:rPr>
        <w:t xml:space="preserve">  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3.1 – No envelope nº 01 (documentação) deverão constar os seguintes documentos: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3.1.1 – Capacidade Jurídica.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a) Contrato Social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b) Inscrição no CNPJ</w:t>
      </w:r>
    </w:p>
    <w:p w:rsidR="009569A6" w:rsidRDefault="009569A6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lastRenderedPageBreak/>
        <w:t>c) Certidão Negativa da União, Estadual e Municipal;</w:t>
      </w:r>
    </w:p>
    <w:p w:rsidR="009518B6" w:rsidRDefault="009569A6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d</w:t>
      </w:r>
      <w:r w:rsidR="00A53E44">
        <w:rPr>
          <w:sz w:val="24"/>
        </w:rPr>
        <w:t xml:space="preserve">) Certidão Negativa de Débito </w:t>
      </w:r>
      <w:r w:rsidR="002A6594">
        <w:rPr>
          <w:sz w:val="24"/>
        </w:rPr>
        <w:t>do</w:t>
      </w:r>
      <w:r w:rsidR="00A53E44">
        <w:rPr>
          <w:sz w:val="24"/>
        </w:rPr>
        <w:t xml:space="preserve"> Fundo de Garantia por Tempo de Serviços (FGTS)</w:t>
      </w:r>
    </w:p>
    <w:p w:rsidR="009518B6" w:rsidRDefault="009569A6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e</w:t>
      </w:r>
      <w:r w:rsidR="00A53E44">
        <w:rPr>
          <w:sz w:val="24"/>
        </w:rPr>
        <w:t>) Certidão Negativa de Débitos Trabalhistas</w:t>
      </w:r>
    </w:p>
    <w:p w:rsidR="001D3074" w:rsidRDefault="001D307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f) Certidão Negativa Correcional</w:t>
      </w:r>
    </w:p>
    <w:p w:rsidR="009518B6" w:rsidRDefault="001D307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g</w:t>
      </w:r>
      <w:r w:rsidR="00A53E44">
        <w:rPr>
          <w:sz w:val="24"/>
        </w:rPr>
        <w:t>) Certidão Negativa de Falência e Concordata</w:t>
      </w:r>
    </w:p>
    <w:p w:rsidR="009518B6" w:rsidRDefault="001D307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h</w:t>
      </w:r>
      <w:r w:rsidR="00A53E44">
        <w:rPr>
          <w:sz w:val="24"/>
        </w:rPr>
        <w:t>) Declaração de que não emprega menores de acordo com o disposto no inciso XXXIII do art. 7º da Constituição Federal</w:t>
      </w:r>
    </w:p>
    <w:p w:rsidR="009518B6" w:rsidRDefault="001D307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i</w:t>
      </w:r>
      <w:r w:rsidR="00A53E44">
        <w:rPr>
          <w:sz w:val="24"/>
        </w:rPr>
        <w:t>) Declaração de expressa e total concordância com os termos deste Edital.</w:t>
      </w:r>
    </w:p>
    <w:p w:rsidR="009518B6" w:rsidRDefault="009518B6">
      <w:pPr>
        <w:ind w:right="-315" w:firstLine="1134"/>
        <w:jc w:val="both"/>
        <w:textAlignment w:val="baseline"/>
        <w:rPr>
          <w:sz w:val="24"/>
        </w:rPr>
      </w:pP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 xml:space="preserve">3.1.2 – Os documentos poderão ser apresentados </w:t>
      </w:r>
      <w:proofErr w:type="gramStart"/>
      <w:r>
        <w:rPr>
          <w:sz w:val="24"/>
        </w:rPr>
        <w:t>através  de</w:t>
      </w:r>
      <w:proofErr w:type="gramEnd"/>
      <w:r>
        <w:rPr>
          <w:sz w:val="24"/>
        </w:rPr>
        <w:t xml:space="preserve"> cópia autenticada por tabelião ou por funcionário do Município.</w:t>
      </w:r>
    </w:p>
    <w:p w:rsidR="009518B6" w:rsidRDefault="009518B6">
      <w:pPr>
        <w:ind w:right="-315" w:firstLine="1134"/>
        <w:jc w:val="both"/>
        <w:textAlignment w:val="baseline"/>
        <w:rPr>
          <w:sz w:val="24"/>
        </w:rPr>
      </w:pP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b/>
          <w:sz w:val="24"/>
          <w:u w:val="single"/>
        </w:rPr>
        <w:t>4 - DA PROPOSTA</w:t>
      </w:r>
    </w:p>
    <w:p w:rsidR="009518B6" w:rsidRDefault="009518B6">
      <w:pPr>
        <w:ind w:right="-315"/>
        <w:jc w:val="both"/>
        <w:textAlignment w:val="baseline"/>
        <w:rPr>
          <w:sz w:val="24"/>
        </w:rPr>
      </w:pP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4.1 – No envelope nº 02 (Proposta), deverá obedecer rigorosamente os termos do Edital, não sendo consideradas aquelas que ofereçam serviços diferentes ou que fizerem referência à proposta do outro concorrente.</w:t>
      </w:r>
      <w:r>
        <w:rPr>
          <w:sz w:val="24"/>
        </w:rPr>
        <w:tab/>
      </w:r>
    </w:p>
    <w:p w:rsidR="009518B6" w:rsidRDefault="009518B6">
      <w:pPr>
        <w:ind w:right="-315" w:firstLine="993"/>
        <w:jc w:val="both"/>
        <w:textAlignment w:val="baseline"/>
        <w:rPr>
          <w:sz w:val="24"/>
        </w:rPr>
      </w:pP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 xml:space="preserve">4.2 - As propostas serão válidas por 60 (sessenta) dias, a contar do seu recebimento.  </w:t>
      </w:r>
    </w:p>
    <w:p w:rsidR="009518B6" w:rsidRDefault="009518B6">
      <w:pPr>
        <w:ind w:right="-315" w:firstLine="993"/>
        <w:jc w:val="both"/>
        <w:textAlignment w:val="baseline"/>
        <w:rPr>
          <w:sz w:val="24"/>
        </w:rPr>
      </w:pP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4.3 – Não serão considerados os itens das propostas que contiverem entrelinhas, emendas, rasuras ou borrões, não ressalvados, a não ser quando consignados em ata de enceramento da licitação.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 xml:space="preserve">4.4 – Não serão admitidos cancelamentos, retificações de propostas ou alterações nas considerações estabelecidas, uma vez abertas as propostas. </w:t>
      </w:r>
    </w:p>
    <w:p w:rsidR="009518B6" w:rsidRDefault="009518B6">
      <w:pPr>
        <w:ind w:right="-315"/>
        <w:jc w:val="both"/>
        <w:textAlignment w:val="baseline"/>
        <w:rPr>
          <w:sz w:val="24"/>
        </w:rPr>
      </w:pPr>
    </w:p>
    <w:p w:rsidR="009518B6" w:rsidRDefault="00A53E44">
      <w:pPr>
        <w:ind w:right="-315"/>
        <w:jc w:val="both"/>
        <w:textAlignment w:val="baseline"/>
        <w:rPr>
          <w:b/>
          <w:sz w:val="24"/>
          <w:u w:val="single"/>
        </w:rPr>
      </w:pPr>
      <w:r>
        <w:rPr>
          <w:b/>
          <w:sz w:val="24"/>
          <w:u w:val="single"/>
        </w:rPr>
        <w:t>5 – DAS OBRIGAÇÕES</w:t>
      </w: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5.1 – Todas as despesas decorrentes da instalação, uso e manutenção do bem imóvel cedido, bem como os tributos municipais, estaduais e federais incidentes, correrão por conta do concorrente vencedor;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 xml:space="preserve">5.2 – O concorrente vencedor deverá manter </w:t>
      </w:r>
      <w:proofErr w:type="gramStart"/>
      <w:r>
        <w:rPr>
          <w:sz w:val="24"/>
          <w:u w:val="single"/>
        </w:rPr>
        <w:t>horário  normal</w:t>
      </w:r>
      <w:proofErr w:type="gramEnd"/>
      <w:r>
        <w:rPr>
          <w:sz w:val="24"/>
          <w:u w:val="single"/>
        </w:rPr>
        <w:t xml:space="preserve"> de atendimento que atenda as práticas normais de esportes neste local;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5.3 – Zelar pelo patrimônio, ficando responsável pela limpeza e fornecimento dos utensílios de higiene para manter um ambiente saudável, incluindo os banheiros e a frente do estabelecimento, bem como substituir vidros, lâmpadas ou o que mais for danificado, em virtude do uso do local;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5.4 – Atender o público com respeito e urbanidade;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5.5 – Fornecer lanches diversos, bem como, bebidas em geral;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5.6 – Nos dias de jogos, dispor de pessoal para atender junto às arquibancadas;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5.7 – Manter horário normal de atendimento ao público que atenda as práticas normais de esportes, cabendo a responsabilidade da abertura e fechamento do ginásio;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5.8 – Observar rigorosamente as finalidades as quais lhe foi outorgado a concessão de uso, sendo-lhe expressamente vedada a prática e o comércio de atividades ilícitas ou a utilização de imóvel para fins diversos daqueles a que se destina;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5.9 – Sujeitar-se de maneira irrestrita à fiscalização permanente que será exercida pelo município no decorrer do prazo da concessão;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5.10- Responsabilizar-se pela devolução do bem e seus acessórios ao final do prazo de vigência da concessão de uso e/ou imediatamente, nas mesmas em que os recebeu, caso venha ocorrer a rescisão contratual;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lastRenderedPageBreak/>
        <w:t>5.11 – Comprometer-se a não comercializar a venda de bebidas alcoólicas nem quaisquer outras em embalagens de vidro, durante a realização de quaisquer competições e/ou eventos promovidos e organizados pelo Município, através do Conselho Municipal de Desportos – CMD;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5.12 -  Reservar horários para atividades escolares, bem como, atividades desenvolvidas pelo Conselho Municipal de Desportos (CMD);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5.13 – Fica o licitante vencedor, responsável pela cobrança de horários (espaços) para jogos realizados no Complexo Esportivo Municipal;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5.14 – Não comercializar, sob qualquer hipótese, bebidas alcoólicas, cigarros ou assemelhados, a menores de 18 (dezoito) anos, pelo que fica exclusivamente responsável;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5.15 – Não permitir quaisquer jogos de azar dentro do estabelecimento público;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5.16 – Comunicar imediatamente e por escrito ao contratante qualquer alteração que possa comprometer a fiel execução do contrato de concessão de uso, nos casos estabelecidos no art. 65 da Lei nº 8.666/93;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5.17 – Não ceder ou transferir o uso do bem público, tampouco a subcontratação de terceiros, sob qualquer forma ou hipótese, sem que haja prédio e expresso consentimento do município concedente;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5.18 – A contratada deverá apresentar personalidade jurídica para legalização da atividade da “praça de alimentação” de acordo com a legislação vigente;</w:t>
      </w:r>
    </w:p>
    <w:p w:rsidR="009518B6" w:rsidRDefault="00A53E44">
      <w:pPr>
        <w:ind w:right="-315"/>
        <w:jc w:val="both"/>
        <w:textAlignment w:val="baseline"/>
        <w:rPr>
          <w:b/>
          <w:sz w:val="24"/>
          <w:u w:val="single"/>
        </w:rPr>
      </w:pPr>
      <w:r>
        <w:rPr>
          <w:b/>
          <w:sz w:val="24"/>
          <w:u w:val="single"/>
        </w:rPr>
        <w:t>5.19 – O preço base da concessão de uso do imóvel, pa</w:t>
      </w:r>
      <w:r w:rsidR="00BE4687">
        <w:rPr>
          <w:b/>
          <w:sz w:val="24"/>
          <w:u w:val="single"/>
        </w:rPr>
        <w:t>ra fins de proposta será de R$ 30</w:t>
      </w:r>
      <w:r>
        <w:rPr>
          <w:b/>
          <w:sz w:val="24"/>
          <w:u w:val="single"/>
        </w:rPr>
        <w:t>0,00 (</w:t>
      </w:r>
      <w:r w:rsidR="00BE4687">
        <w:rPr>
          <w:b/>
          <w:sz w:val="24"/>
          <w:u w:val="single"/>
        </w:rPr>
        <w:t>trezentos</w:t>
      </w:r>
      <w:r>
        <w:rPr>
          <w:b/>
          <w:sz w:val="24"/>
          <w:u w:val="single"/>
        </w:rPr>
        <w:t xml:space="preserve"> reais) mensais, não sendo consideradas propostas com valor inferior;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5.20 – O valor será corrigido anualmente pelo IGPM/FGV e será recolhido junto a Tesouraria do Município de Condor/RS, impreterivelmente até o quinto dia útil do mês subsequente ao vencido.</w:t>
      </w: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b/>
          <w:sz w:val="24"/>
          <w:u w:val="single"/>
        </w:rPr>
        <w:t xml:space="preserve">6 - </w:t>
      </w:r>
      <w:proofErr w:type="gramStart"/>
      <w:r>
        <w:rPr>
          <w:b/>
          <w:sz w:val="24"/>
          <w:u w:val="single"/>
        </w:rPr>
        <w:t>DO  JULGAMENTO</w:t>
      </w:r>
      <w:proofErr w:type="gramEnd"/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 xml:space="preserve"> 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6.1 – O julgamento será realizado pelo Comissão Permanente de Licitações.</w:t>
      </w:r>
    </w:p>
    <w:p w:rsidR="009518B6" w:rsidRDefault="009518B6">
      <w:pPr>
        <w:ind w:right="-315" w:firstLine="993"/>
        <w:jc w:val="both"/>
        <w:textAlignment w:val="baseline"/>
        <w:rPr>
          <w:sz w:val="24"/>
          <w:u w:val="single"/>
        </w:rPr>
      </w:pP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6.2 – Caberá a Comissão Permanente de Licitações, também:</w:t>
      </w:r>
    </w:p>
    <w:p w:rsidR="009518B6" w:rsidRDefault="009518B6">
      <w:pPr>
        <w:ind w:right="-315" w:firstLine="1134"/>
        <w:jc w:val="both"/>
        <w:textAlignment w:val="baseline"/>
        <w:rPr>
          <w:sz w:val="24"/>
        </w:rPr>
      </w:pP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6.2.1 – Receber as propostas de “Documentação e Proposta” na forma estabelecida neste edital.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6.2.2 – Proceder a abertura dos envelopes contendo a “Documentação”, que será rubricada por todos os proponentes, folha por folha.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6.2.3 – Examinar a “Documentação” nos termos deste Edital, rejeitando a apresentada de maneira deficiente ou incompleta. Neste caso, o envelope nº 02 (PROPOSTA), permanecerá fechado, devendo ser rubricado e devolvido ao interessado após a homologação do julgamento final.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 xml:space="preserve">6.2.4 – Uma vez abertos os envelopes da “Documentação”, após terem sido julgados habilitados ou rejeitados os concorrentes, na mesma sessão pública, ou em sessão subsequente a ser designada, a Comissão Permanente de Licitações, procederá a abertura dos </w:t>
      </w:r>
      <w:proofErr w:type="gramStart"/>
      <w:r>
        <w:rPr>
          <w:sz w:val="24"/>
        </w:rPr>
        <w:t>envelopes  contendo</w:t>
      </w:r>
      <w:proofErr w:type="gramEnd"/>
      <w:r>
        <w:rPr>
          <w:sz w:val="24"/>
        </w:rPr>
        <w:t xml:space="preserve"> as propostas dos concorrentes habilitados, determinando que sejam lidas e rubricadas pelos presentes. Os envelopes contendo as “PROPOSTAS” dos concorrentes inabilitados permanecerão fechados e rubricados, serão devolvidos.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6.2.5 – Lavrar atas circunstanciadas das sessões da licitação, que serão assinadas pelos membros da Comissão Permanente de Licitações e por todos os interessados presentes, independentemente de terem ou não sido julgados habilitados.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t>6.2.6 – A Comissão Permanente de Licitações poderá promover diligências, visando esclarecer ou completar a instrução do processo.</w:t>
      </w:r>
    </w:p>
    <w:p w:rsidR="009518B6" w:rsidRDefault="00A53E44">
      <w:pPr>
        <w:ind w:right="-315" w:firstLine="1134"/>
        <w:jc w:val="both"/>
        <w:textAlignment w:val="baseline"/>
        <w:rPr>
          <w:sz w:val="24"/>
        </w:rPr>
      </w:pPr>
      <w:r>
        <w:rPr>
          <w:sz w:val="24"/>
        </w:rPr>
        <w:lastRenderedPageBreak/>
        <w:t>6.2.7 – No caso de absoluta igualdade de condições entre duas 02 ou mais propostas, a Comissão Permanente de Licitações adotará como critério de desempate o sorteio, na forma por ela determinada.</w:t>
      </w:r>
    </w:p>
    <w:p w:rsidR="009518B6" w:rsidRDefault="009518B6">
      <w:pPr>
        <w:ind w:right="-315"/>
        <w:jc w:val="both"/>
        <w:textAlignment w:val="baseline"/>
        <w:rPr>
          <w:sz w:val="24"/>
        </w:rPr>
      </w:pPr>
    </w:p>
    <w:p w:rsidR="009518B6" w:rsidRDefault="00A53E44">
      <w:pPr>
        <w:ind w:right="-315"/>
        <w:jc w:val="both"/>
        <w:textAlignment w:val="baseline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7 – DOS RECURSOS  </w:t>
      </w: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7.1 – Em todas as fases da presente licitação, serão observadas as normas previstas pelo art. 109 da Lei Federal nº 8.666/93.</w:t>
      </w: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A53E44">
      <w:pPr>
        <w:ind w:right="-315"/>
        <w:jc w:val="both"/>
        <w:textAlignment w:val="baseline"/>
        <w:rPr>
          <w:b/>
          <w:sz w:val="24"/>
          <w:u w:val="single"/>
        </w:rPr>
      </w:pPr>
      <w:r>
        <w:rPr>
          <w:b/>
          <w:sz w:val="24"/>
          <w:u w:val="single"/>
        </w:rPr>
        <w:t>8 – DO PRAZO PARA ASSINATURA DO CONTRATO</w:t>
      </w: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8.1 – Após esgotados todos os prazos de recurso, a Administração no prazo de 05 (cinco) dias, convocará o vencedor para celebrar o contrato.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 xml:space="preserve">8.2 – O prazo de que trata o </w:t>
      </w:r>
      <w:proofErr w:type="spellStart"/>
      <w:r>
        <w:rPr>
          <w:sz w:val="24"/>
          <w:u w:val="single"/>
        </w:rPr>
        <w:t>ítem</w:t>
      </w:r>
      <w:proofErr w:type="spellEnd"/>
      <w:r>
        <w:rPr>
          <w:sz w:val="24"/>
          <w:u w:val="single"/>
        </w:rPr>
        <w:t xml:space="preserve"> anterior poderá ser prorrogado uma vez, pelo mesmo período, desde que seja feito de forma motivada e durante a transcurso constante do </w:t>
      </w:r>
      <w:proofErr w:type="spellStart"/>
      <w:r>
        <w:rPr>
          <w:sz w:val="24"/>
          <w:u w:val="single"/>
        </w:rPr>
        <w:t>ítem</w:t>
      </w:r>
      <w:proofErr w:type="spellEnd"/>
      <w:r>
        <w:rPr>
          <w:sz w:val="24"/>
          <w:u w:val="single"/>
        </w:rPr>
        <w:t xml:space="preserve"> 8.1.</w:t>
      </w:r>
    </w:p>
    <w:p w:rsidR="009518B6" w:rsidRDefault="00A53E44">
      <w:pPr>
        <w:ind w:right="-315"/>
        <w:jc w:val="both"/>
        <w:textAlignment w:val="baseline"/>
        <w:rPr>
          <w:sz w:val="24"/>
          <w:u w:val="single"/>
        </w:rPr>
      </w:pPr>
      <w:r>
        <w:rPr>
          <w:sz w:val="24"/>
          <w:u w:val="single"/>
        </w:rPr>
        <w:t>8.3 – Se, dentro do prazo estipulado, o convocado não assinar o contrato, a Administração poderá convocar os licitantes remanescentes, na ordem de classificação, para assinatura, ou então, revogar a licitação, sem prejuízo da aplicação as penalidades previstas no art. 81 da Lei Federal nº 8.666/93.</w:t>
      </w: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A53E44">
      <w:pPr>
        <w:ind w:right="-315"/>
        <w:jc w:val="both"/>
        <w:textAlignment w:val="baseline"/>
        <w:rPr>
          <w:b/>
          <w:sz w:val="24"/>
          <w:u w:val="single"/>
        </w:rPr>
      </w:pPr>
      <w:r>
        <w:rPr>
          <w:b/>
          <w:sz w:val="24"/>
          <w:u w:val="single"/>
        </w:rPr>
        <w:t>9 – DAS DISPOSIÇÕES GERAIS</w:t>
      </w:r>
    </w:p>
    <w:p w:rsidR="009518B6" w:rsidRDefault="009518B6">
      <w:pPr>
        <w:ind w:right="-315"/>
        <w:jc w:val="both"/>
        <w:textAlignment w:val="baseline"/>
        <w:rPr>
          <w:b/>
          <w:sz w:val="24"/>
          <w:u w:val="single"/>
        </w:rPr>
      </w:pP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 xml:space="preserve">9.1 – </w:t>
      </w:r>
      <w:proofErr w:type="gramStart"/>
      <w:r>
        <w:rPr>
          <w:sz w:val="24"/>
        </w:rPr>
        <w:t>A  concessão</w:t>
      </w:r>
      <w:proofErr w:type="gramEnd"/>
      <w:r>
        <w:rPr>
          <w:sz w:val="24"/>
        </w:rPr>
        <w:t xml:space="preserve"> de uso a título (oneroso)  do imóvel público será pelo prazo de 12 meses, podendo ser prorrogado por iguais e sucessivos períodos com vistas à obtenção de preços e condições vantajosas a Administração, limitada a sessenta meses.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9.2 – A fiscalização dos serviços prestados pela vencedora da presente licitação ficará a cargo do Município, através da Secretaria Municipal de Educação e Cultura e Conselho Municipal de Desportos.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9.3 – Qualquer benfeitoria ou ampliação do projeto inicialmente proposto, que a concessionária pretenda realizar no imóvel, deverá obter aprovação prévia do Município.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9.4 – A inabilitação do licitante em qualquer das fases do procedimento importa preclusão do seu direito de participar das fases subsequentes.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9.5 – Não serão aceitas propostas que deixarem de atender qualquer das disposições deste edital.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9.6 – Em nenhuma hipótese será concedido prazo para apresentação de documentos e propostas exigidas do Edital e não apresentadas na reunião de recebimento.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9.7 – Não serão admitidas, por qualquer motivo, modificação ou substituição das propostas ou qualquer outro documento.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9.8 – O documentos retirados dos envelopes para julgamento da habilitação, serão rubricados pela Comissão Permanente de Licitações e pelos representantes ou procuradores dos licitantes, da mesma forma com os documentos da proposta.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9,9 – Só poderão se manifestar, rubricar as propostas, apresentar reclamações ou recursos e assinar as atas, os licitantes ou seus representantes credenciados e os membros da Comissão Permanente de Licitações.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9.10 – Uma vez iniciada a abertura dos envelopes relativos a “Documentação”, não serão admitidas a licitação os concorrentes retardatários.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9.11 – No contrato a ser assinado com o vencedor da presente licitação deverá constar, obrigatoriamente, as hipóteses de rescisão previstas no art. 78 da Lei Federal nº 8.666/93.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>9.12 – Fica eleito o foro da Comarca de Panambi/RS, para dirimir eventuais litígios decorrentes deste edital.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lastRenderedPageBreak/>
        <w:t xml:space="preserve">9.13 - Demais informações poderão ser obtidas nesta Prefeitura Municipal, no horário normal de expediente, ou ainda pelo </w:t>
      </w:r>
      <w:proofErr w:type="spellStart"/>
      <w:r>
        <w:rPr>
          <w:sz w:val="24"/>
        </w:rPr>
        <w:t>email</w:t>
      </w:r>
      <w:proofErr w:type="spellEnd"/>
      <w:r>
        <w:rPr>
          <w:sz w:val="24"/>
        </w:rPr>
        <w:t>: licita@condor.rs.gov.br.</w:t>
      </w: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0E66E6">
      <w:pPr>
        <w:ind w:right="-315" w:firstLine="2552"/>
        <w:jc w:val="both"/>
        <w:textAlignment w:val="baseline"/>
        <w:rPr>
          <w:sz w:val="24"/>
          <w:u w:val="single"/>
        </w:rPr>
      </w:pPr>
      <w:r>
        <w:rPr>
          <w:sz w:val="24"/>
        </w:rPr>
        <w:t xml:space="preserve">    Condor, 0</w:t>
      </w:r>
      <w:r w:rsidR="00651519">
        <w:rPr>
          <w:sz w:val="24"/>
        </w:rPr>
        <w:t>7</w:t>
      </w:r>
      <w:r w:rsidR="00A53E44">
        <w:rPr>
          <w:sz w:val="24"/>
        </w:rPr>
        <w:t xml:space="preserve"> de </w:t>
      </w:r>
      <w:r w:rsidR="00651519">
        <w:rPr>
          <w:sz w:val="24"/>
        </w:rPr>
        <w:t>agosto</w:t>
      </w:r>
      <w:r w:rsidR="00A53E44">
        <w:rPr>
          <w:sz w:val="24"/>
        </w:rPr>
        <w:t xml:space="preserve"> de 20</w:t>
      </w:r>
      <w:r>
        <w:rPr>
          <w:sz w:val="24"/>
        </w:rPr>
        <w:t>23</w:t>
      </w: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9518B6">
      <w:pPr>
        <w:ind w:right="-315"/>
        <w:jc w:val="both"/>
        <w:textAlignment w:val="baseline"/>
        <w:rPr>
          <w:sz w:val="24"/>
          <w:u w:val="single"/>
        </w:rPr>
      </w:pPr>
    </w:p>
    <w:p w:rsidR="009518B6" w:rsidRDefault="00A53E44" w:rsidP="00BE4687">
      <w:pPr>
        <w:ind w:left="1416" w:right="-315" w:firstLine="708"/>
        <w:jc w:val="both"/>
        <w:textAlignment w:val="baseline"/>
        <w:rPr>
          <w:sz w:val="24"/>
          <w:u w:val="single"/>
        </w:rPr>
      </w:pPr>
      <w:r>
        <w:rPr>
          <w:sz w:val="24"/>
        </w:rPr>
        <w:t>-----------------------------------------------------------------</w:t>
      </w:r>
    </w:p>
    <w:p w:rsidR="007471C7" w:rsidRDefault="00A53E44">
      <w:pPr>
        <w:ind w:right="-315"/>
        <w:jc w:val="both"/>
        <w:textAlignment w:val="baseline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  <w:r w:rsidR="00651519">
        <w:rPr>
          <w:b/>
          <w:sz w:val="24"/>
        </w:rPr>
        <w:t xml:space="preserve">ROMULO TEIXEIRA CARVALHO </w:t>
      </w:r>
    </w:p>
    <w:p w:rsidR="009518B6" w:rsidRDefault="00651519" w:rsidP="007471C7">
      <w:pPr>
        <w:ind w:left="1416" w:right="-315" w:firstLine="708"/>
        <w:jc w:val="both"/>
        <w:textAlignment w:val="baseline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VICE</w:t>
      </w:r>
      <w:r w:rsidR="00A53E44">
        <w:rPr>
          <w:b/>
          <w:sz w:val="24"/>
        </w:rPr>
        <w:t xml:space="preserve"> – PREFEITO MUNICIPAL </w:t>
      </w: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ind w:right="-315"/>
        <w:textAlignment w:val="baseline"/>
        <w:rPr>
          <w:b/>
          <w:sz w:val="24"/>
        </w:rPr>
      </w:pPr>
    </w:p>
    <w:p w:rsidR="009518B6" w:rsidRDefault="009518B6">
      <w:pPr>
        <w:jc w:val="left"/>
        <w:textAlignment w:val="baseline"/>
      </w:pP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keepNext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MINUTA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CONTRATO PARA CONCESSÃO A TÍTULO ONEROSO DO ESPAÇO FÍSICO DO GINÁSIO MUNICIPAL DE ESPORTES DEOMAR LAUTERT</w:t>
      </w:r>
    </w:p>
    <w:p w:rsidR="009518B6" w:rsidRDefault="00A53E44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........./20</w:t>
      </w:r>
      <w:r w:rsidR="00BE4687">
        <w:rPr>
          <w:color w:val="000000"/>
          <w:sz w:val="22"/>
          <w:szCs w:val="22"/>
        </w:rPr>
        <w:t>23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CONTRATO DE CONCESSÃO A TÍTULO ONEROSO DO ESPAÇO FÍSICO DO GINÁSIO MUNIC.IPAL DEOMAR LAUTERT, QUE FAZEM O MUNICÍPIO DE CONDOR,  Pessoa Jurídica de Direito Público Interno, doravante denominado simplesmente MUNICÍPIO, inscrito no C.N.P.J. sob nº 88.437.926/0001-90, neste ato representado pelo Sr. Prefeito Municipal, Valmir Land, brasileiro, maior, casado, residente e domiciliado nesta cidade, inscrito no </w:t>
      </w:r>
      <w:proofErr w:type="spellStart"/>
      <w:r>
        <w:rPr>
          <w:color w:val="000000"/>
          <w:sz w:val="22"/>
          <w:szCs w:val="22"/>
        </w:rPr>
        <w:t>C.P.F.sob</w:t>
      </w:r>
      <w:proofErr w:type="spellEnd"/>
      <w:r>
        <w:rPr>
          <w:color w:val="000000"/>
          <w:sz w:val="22"/>
          <w:szCs w:val="22"/>
        </w:rPr>
        <w:t xml:space="preserve"> nº                                  e portador da Carteira de Identidade nº                         e a empresa...., inscrita no C.N.P.J. sob nº....., com sede na cidade de....., à Rua....., nº...., CEP...., neste ato representada por....,bras....., ......, ....., inscrito no C.P.F. sob nº....., doravante denominada simplesmente CONTRATADA, perante as testemunhas nomeadas e firmadas, tendo em vista o processo administrativo nº /20</w:t>
      </w:r>
      <w:r w:rsidR="00BE4687"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 xml:space="preserve">, Edital de Concorrência Pública nº 002/2018, pactuam o presente Contrato para exploração do espaço físico do Ginásio Municipal </w:t>
      </w:r>
      <w:proofErr w:type="spellStart"/>
      <w:r>
        <w:rPr>
          <w:color w:val="000000"/>
          <w:sz w:val="22"/>
          <w:szCs w:val="22"/>
        </w:rPr>
        <w:t>Deomar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Lauter</w:t>
      </w:r>
      <w:r w:rsidR="000E66E6">
        <w:rPr>
          <w:color w:val="000000"/>
          <w:sz w:val="22"/>
          <w:szCs w:val="22"/>
        </w:rPr>
        <w:t>t</w:t>
      </w:r>
      <w:proofErr w:type="spellEnd"/>
      <w:r>
        <w:rPr>
          <w:color w:val="000000"/>
          <w:sz w:val="22"/>
          <w:szCs w:val="22"/>
        </w:rPr>
        <w:t>, que se regerá por toda a legislação aplicável a espécie e especialmente pela Lei nº 8.666/93, cujas disposições aplicam-se a este contrato irrestrita e incondicionalmente a que os CONTRATANTES declaram conhecer, subordinando-se este contrato, ainda, as normas desta Lei e as cláusulas contratuais seguintes: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CLÁUSULA PRIMEIRA - O objeto da presente licitação é a exploração do espaço físico do Ginásio Municipal </w:t>
      </w:r>
      <w:proofErr w:type="spellStart"/>
      <w:r>
        <w:rPr>
          <w:color w:val="000000"/>
          <w:sz w:val="22"/>
          <w:szCs w:val="22"/>
        </w:rPr>
        <w:t>Deomar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Lautert</w:t>
      </w:r>
      <w:proofErr w:type="spellEnd"/>
      <w:r>
        <w:rPr>
          <w:color w:val="000000"/>
          <w:sz w:val="22"/>
          <w:szCs w:val="22"/>
        </w:rPr>
        <w:t>, situado na Rua Castelo Branco, perímetro urbano do município de Condor/RS.</w:t>
      </w:r>
    </w:p>
    <w:p w:rsidR="009518B6" w:rsidRDefault="009518B6">
      <w:pPr>
        <w:jc w:val="both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CLAUSULA SEGUNDA – Pela exploração </w:t>
      </w:r>
      <w:r w:rsidR="00651519">
        <w:rPr>
          <w:color w:val="000000"/>
          <w:sz w:val="22"/>
          <w:szCs w:val="22"/>
        </w:rPr>
        <w:t xml:space="preserve">de parte </w:t>
      </w:r>
      <w:r>
        <w:rPr>
          <w:color w:val="000000"/>
          <w:sz w:val="22"/>
          <w:szCs w:val="22"/>
        </w:rPr>
        <w:t xml:space="preserve">do espaço físico do Ginásio Municipal </w:t>
      </w:r>
      <w:proofErr w:type="spellStart"/>
      <w:r>
        <w:rPr>
          <w:color w:val="000000"/>
          <w:sz w:val="22"/>
          <w:szCs w:val="22"/>
        </w:rPr>
        <w:t>Deomar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Lautert</w:t>
      </w:r>
      <w:proofErr w:type="spellEnd"/>
      <w:r>
        <w:rPr>
          <w:color w:val="000000"/>
          <w:sz w:val="22"/>
          <w:szCs w:val="22"/>
        </w:rPr>
        <w:t xml:space="preserve"> constantes neste contrato o MUNICÍPIO receberá da CONTRATADA a importância de R</w:t>
      </w:r>
      <w:proofErr w:type="gramStart"/>
      <w:r>
        <w:rPr>
          <w:color w:val="000000"/>
          <w:sz w:val="22"/>
          <w:szCs w:val="22"/>
        </w:rPr>
        <w:t>$....</w:t>
      </w:r>
      <w:proofErr w:type="gramEnd"/>
      <w:r>
        <w:rPr>
          <w:color w:val="000000"/>
          <w:sz w:val="22"/>
          <w:szCs w:val="22"/>
        </w:rPr>
        <w:t xml:space="preserve">. </w:t>
      </w:r>
      <w:proofErr w:type="gramStart"/>
      <w:r>
        <w:rPr>
          <w:color w:val="000000"/>
          <w:sz w:val="22"/>
          <w:szCs w:val="22"/>
        </w:rPr>
        <w:t>(....</w:t>
      </w:r>
      <w:proofErr w:type="gramEnd"/>
      <w:r>
        <w:rPr>
          <w:color w:val="000000"/>
          <w:sz w:val="22"/>
          <w:szCs w:val="22"/>
        </w:rPr>
        <w:t>Reais).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TERCEIRA – Observar rigorosamente as finalidades para as quais lhe foi outorgado a concessão de uso, sendo-lhe expressamente vedada a prática de atividades não previstas no edital de licitação.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QUARTA - O pagamento será realizado na Tesouraria da Prefeitura Municipal de Condor.</w:t>
      </w:r>
    </w:p>
    <w:p w:rsidR="009518B6" w:rsidRDefault="009518B6">
      <w:pPr>
        <w:jc w:val="both"/>
        <w:rPr>
          <w:color w:val="000000"/>
          <w:sz w:val="22"/>
          <w:szCs w:val="22"/>
        </w:rPr>
      </w:pP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 xml:space="preserve"> – </w:t>
      </w:r>
      <w:proofErr w:type="gramStart"/>
      <w:r>
        <w:rPr>
          <w:sz w:val="24"/>
        </w:rPr>
        <w:t>A  concessão</w:t>
      </w:r>
      <w:proofErr w:type="gramEnd"/>
      <w:r>
        <w:rPr>
          <w:sz w:val="24"/>
        </w:rPr>
        <w:t xml:space="preserve"> de uso a título (oneroso)  do imóvel público será pelo prazo de 12 meses, podendo ser prorrogado por iguais e sucessivos períodos com vistas à obtenção de preços e condições vantajosas a Administração, limitada a sessenta meses.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 xml:space="preserve"> – A fiscalização dos serviços prestados pela vencedora da presente licitação ficará a cargo do Município, através da Secretaria Municipal de Educação e Cultura e Conselho Municipal de Desportos.</w:t>
      </w:r>
    </w:p>
    <w:p w:rsidR="009518B6" w:rsidRDefault="00A53E44">
      <w:pPr>
        <w:ind w:right="-315"/>
        <w:jc w:val="both"/>
        <w:textAlignment w:val="baseline"/>
        <w:rPr>
          <w:sz w:val="24"/>
        </w:rPr>
      </w:pPr>
      <w:r>
        <w:rPr>
          <w:sz w:val="24"/>
        </w:rPr>
        <w:t xml:space="preserve"> – Qualquer benfeitoria ou ampliação do projeto inicialmente proposto, que a concessionária pretenda realizar no imóvel, deverá obter aprovação prévia do Município.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SÉXTA - Constituem motivos para alteração do contrato, os previstos no artigo 65 da lei de licitações devidamente justificados e comprovados;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SÉTIMA - Constituem motivo para rescisão deste contrato os previstos no artigo 78, combinados com os artigos 79 e 80 da Lei 8.666/93 e alterações posteriores, ressalvado o disposto no artigo 77 quanto à inexecução total ou parcial do contrato via administrativa.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CLÁUSULA OITAVA - O MUNICÍPIO poderá cobrar judicialmente os valores correspondentes às importâncias decorrentes da imposição de penalidades, decorrentes do inadimplemento do presente contrato, caso o MUNICÍPIO tenha de recorrer aos meios judiciais para haver o que lhe foi devido, além das cominações  previstas neste instrumento, ficará a CONTRATADA sujeita ao pagamento da pena convencional de 10% (dez por cento), juros de mora de 1% (um por cento) ao mês, despesas de processo, correção monetária e honorários, estes acordados desde logo em 20% (vinte por cento).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NONA - Fica a CONTRATADA obrigada a manter durante toda a execução do contrato, em compatibilidade com as obrigações por ele assumidas, todas as condições de habilitação e qualificação exigidas na licitação.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CLÁUSULA </w:t>
      </w:r>
      <w:proofErr w:type="gramStart"/>
      <w:r>
        <w:rPr>
          <w:color w:val="000000"/>
          <w:sz w:val="22"/>
          <w:szCs w:val="22"/>
        </w:rPr>
        <w:t>DÉCIMA  -</w:t>
      </w:r>
      <w:proofErr w:type="gramEnd"/>
      <w:r>
        <w:rPr>
          <w:color w:val="000000"/>
          <w:sz w:val="22"/>
          <w:szCs w:val="22"/>
        </w:rPr>
        <w:t xml:space="preserve"> As despesas correrão por conta da seguinte dotação orçamentária: </w:t>
      </w:r>
    </w:p>
    <w:tbl>
      <w:tblPr>
        <w:tblW w:w="8782" w:type="dxa"/>
        <w:tblLook w:val="04A0" w:firstRow="1" w:lastRow="0" w:firstColumn="1" w:lastColumn="0" w:noHBand="0" w:noVBand="1"/>
      </w:tblPr>
      <w:tblGrid>
        <w:gridCol w:w="1950"/>
        <w:gridCol w:w="1701"/>
        <w:gridCol w:w="5131"/>
      </w:tblGrid>
      <w:tr w:rsidR="009518B6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B6" w:rsidRDefault="00A53E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DOTAÇÃO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B6" w:rsidRDefault="00A53E44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PROJ./</w:t>
            </w:r>
            <w:proofErr w:type="gramEnd"/>
            <w:r>
              <w:rPr>
                <w:color w:val="000000"/>
                <w:sz w:val="22"/>
                <w:szCs w:val="22"/>
              </w:rPr>
              <w:t>ATIV.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B6" w:rsidRDefault="00A53E4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</w:t>
            </w:r>
          </w:p>
        </w:tc>
      </w:tr>
      <w:tr w:rsidR="009518B6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B6" w:rsidRDefault="009518B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B6" w:rsidRDefault="009518B6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8B6" w:rsidRDefault="009518B6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518B6" w:rsidRDefault="009518B6">
      <w:pPr>
        <w:jc w:val="both"/>
        <w:rPr>
          <w:color w:val="000000"/>
          <w:sz w:val="22"/>
          <w:szCs w:val="22"/>
        </w:rPr>
      </w:pP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DÉCIMA PRIMEIRA - A vigência deste contrato será 12 (doze) meses, podendo ser prorrogado, por até 60 meses, desde que seja de interesse da Administração.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CLÁUSULA DÉCIMA SEGUNDA – Fica eleito o Foro de Panambi/RS para dirimir questões oriundas deste contrato, com exclusão de qualquer outro por mais privilegiado que seja.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E, por estarem justos e acordados, firmam o presente contrato em três vias de igual teor e valor para um só efeito, juntamente com as testemunhas abaixo.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2B4DBB">
      <w:pPr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Condor, 00 de agosto de 2023.</w:t>
      </w:r>
      <w:r w:rsidR="00A53E44">
        <w:rPr>
          <w:color w:val="000000"/>
          <w:sz w:val="22"/>
          <w:szCs w:val="22"/>
        </w:rPr>
        <w:t xml:space="preserve">  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MUNICÍPIO DE CONDOR</w:t>
      </w:r>
    </w:p>
    <w:p w:rsidR="009518B6" w:rsidRDefault="00A53E44">
      <w:pPr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CONTRATADA</w:t>
      </w:r>
    </w:p>
    <w:p w:rsidR="009518B6" w:rsidRDefault="009518B6">
      <w:pPr>
        <w:jc w:val="left"/>
        <w:rPr>
          <w:color w:val="000000"/>
          <w:sz w:val="22"/>
          <w:szCs w:val="22"/>
        </w:rPr>
      </w:pPr>
    </w:p>
    <w:p w:rsidR="009518B6" w:rsidRDefault="00A53E44">
      <w:pPr>
        <w:jc w:val="left"/>
      </w:pPr>
      <w:r>
        <w:rPr>
          <w:color w:val="000000"/>
          <w:sz w:val="22"/>
          <w:szCs w:val="22"/>
        </w:rPr>
        <w:t xml:space="preserve">TESTEMUNHAS: </w:t>
      </w:r>
    </w:p>
    <w:p w:rsidR="009518B6" w:rsidRDefault="009518B6">
      <w:pPr>
        <w:jc w:val="left"/>
        <w:textAlignment w:val="baseline"/>
      </w:pPr>
    </w:p>
    <w:sectPr w:rsidR="009518B6">
      <w:headerReference w:type="default" r:id="rId8"/>
      <w:footerReference w:type="default" r:id="rId9"/>
      <w:headerReference w:type="first" r:id="rId10"/>
      <w:pgSz w:w="11906" w:h="16838"/>
      <w:pgMar w:top="1701" w:right="1134" w:bottom="1701" w:left="1134" w:header="720" w:footer="113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16" w:rsidRDefault="00EB2416">
      <w:r>
        <w:separator/>
      </w:r>
    </w:p>
  </w:endnote>
  <w:endnote w:type="continuationSeparator" w:id="0">
    <w:p w:rsidR="00EB2416" w:rsidRDefault="00EB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B6" w:rsidRDefault="00A53E44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PAGE</w:instrText>
    </w:r>
    <w:r>
      <w:rPr>
        <w:rStyle w:val="Nmerodepgina"/>
        <w:sz w:val="24"/>
      </w:rPr>
      <w:fldChar w:fldCharType="separate"/>
    </w:r>
    <w:r w:rsidR="007471C7">
      <w:rPr>
        <w:rStyle w:val="Nmerodepgina"/>
        <w:noProof/>
        <w:sz w:val="24"/>
      </w:rPr>
      <w:t>7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16" w:rsidRDefault="00EB2416">
      <w:r>
        <w:separator/>
      </w:r>
    </w:p>
  </w:footnote>
  <w:footnote w:type="continuationSeparator" w:id="0">
    <w:p w:rsidR="00EB2416" w:rsidRDefault="00EB2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B6" w:rsidRDefault="009518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B6" w:rsidRDefault="00A53E44">
    <w:pPr>
      <w:pStyle w:val="Cabealho"/>
    </w:pPr>
    <w:r>
      <w:t>Prefeitura Municipal de Condor</w:t>
    </w:r>
  </w:p>
  <w:p w:rsidR="009518B6" w:rsidRDefault="00A53E44">
    <w:pPr>
      <w:pStyle w:val="Cabealho"/>
    </w:pPr>
    <w:r>
      <w:t>Estado do Rio Grande do Sul</w:t>
    </w:r>
  </w:p>
  <w:p w:rsidR="009518B6" w:rsidRDefault="00A53E44">
    <w:pPr>
      <w:pStyle w:val="Cabealho"/>
    </w:pPr>
    <w:r>
      <w:t>Gabinete do Prefeito</w:t>
    </w:r>
  </w:p>
  <w:p w:rsidR="009518B6" w:rsidRDefault="009518B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527"/>
    <w:multiLevelType w:val="multilevel"/>
    <w:tmpl w:val="75523D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E29714E"/>
    <w:multiLevelType w:val="multilevel"/>
    <w:tmpl w:val="FDB81C40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B6"/>
    <w:rsid w:val="000E66E6"/>
    <w:rsid w:val="001D3074"/>
    <w:rsid w:val="002A6594"/>
    <w:rsid w:val="002B4DBB"/>
    <w:rsid w:val="003657EF"/>
    <w:rsid w:val="00614D80"/>
    <w:rsid w:val="00651519"/>
    <w:rsid w:val="007471C7"/>
    <w:rsid w:val="0077555B"/>
    <w:rsid w:val="00862468"/>
    <w:rsid w:val="009518B6"/>
    <w:rsid w:val="009569A6"/>
    <w:rsid w:val="00A53E44"/>
    <w:rsid w:val="00BA50D2"/>
    <w:rsid w:val="00BE4687"/>
    <w:rsid w:val="00CC4953"/>
    <w:rsid w:val="00EB2416"/>
    <w:rsid w:val="00F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C3839-C94C-4388-BF83-E9D9C7D2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link w:val="Rodap"/>
    <w:uiPriority w:val="99"/>
    <w:qFormat/>
    <w:rsid w:val="00C34A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qFormat/>
    <w:rsid w:val="00C34AC8"/>
  </w:style>
  <w:style w:type="character" w:customStyle="1" w:styleId="CabealhoChar">
    <w:name w:val="Cabeçalho Char"/>
    <w:basedOn w:val="Fontepargpadro"/>
    <w:link w:val="Cabealho"/>
    <w:uiPriority w:val="99"/>
    <w:qFormat/>
    <w:rsid w:val="00136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6A4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0C7325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link w:val="RodapChar"/>
    <w:uiPriority w:val="99"/>
    <w:unhideWhenUsed/>
    <w:rsid w:val="00C34AC8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136A4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6A4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3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F35C-0344-4BAF-B154-BA818847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2481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</Company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dc:description/>
  <cp:lastModifiedBy>Usuário do Windows</cp:lastModifiedBy>
  <cp:revision>28</cp:revision>
  <cp:lastPrinted>2023-08-09T11:17:00Z</cp:lastPrinted>
  <dcterms:created xsi:type="dcterms:W3CDTF">2018-10-04T11:56:00Z</dcterms:created>
  <dcterms:modified xsi:type="dcterms:W3CDTF">2023-08-09T11:22:00Z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Prefeitura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